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74" w:rsidRPr="00762E6E" w:rsidRDefault="00762E6E">
      <w:pPr>
        <w:rPr>
          <w:rFonts w:ascii="Arial" w:hAnsi="Arial" w:cs="Arial"/>
          <w:sz w:val="24"/>
          <w:szCs w:val="24"/>
        </w:rPr>
      </w:pPr>
      <w:proofErr w:type="spellStart"/>
      <w:r w:rsidRPr="00762E6E">
        <w:rPr>
          <w:rFonts w:ascii="Arial" w:hAnsi="Arial" w:cs="Arial"/>
          <w:sz w:val="24"/>
          <w:szCs w:val="24"/>
        </w:rPr>
        <w:t>Feher</w:t>
      </w:r>
      <w:proofErr w:type="spellEnd"/>
      <w:r w:rsidRPr="00762E6E">
        <w:rPr>
          <w:rFonts w:ascii="Arial" w:hAnsi="Arial" w:cs="Arial"/>
          <w:sz w:val="24"/>
          <w:szCs w:val="24"/>
        </w:rPr>
        <w:t xml:space="preserve"> G, Pohl M, Bank G, </w:t>
      </w:r>
      <w:proofErr w:type="spellStart"/>
      <w:r w:rsidRPr="00762E6E">
        <w:rPr>
          <w:rFonts w:ascii="Arial" w:hAnsi="Arial" w:cs="Arial"/>
          <w:sz w:val="24"/>
          <w:szCs w:val="24"/>
        </w:rPr>
        <w:t>Mak</w:t>
      </w:r>
      <w:proofErr w:type="spellEnd"/>
      <w:r w:rsidRPr="00762E6E">
        <w:rPr>
          <w:rFonts w:ascii="Arial" w:hAnsi="Arial" w:cs="Arial"/>
          <w:sz w:val="24"/>
          <w:szCs w:val="24"/>
        </w:rPr>
        <w:t xml:space="preserve"> K, </w:t>
      </w:r>
      <w:proofErr w:type="spellStart"/>
      <w:r w:rsidRPr="00762E6E">
        <w:rPr>
          <w:rFonts w:ascii="Arial" w:hAnsi="Arial" w:cs="Arial"/>
          <w:sz w:val="24"/>
          <w:szCs w:val="24"/>
        </w:rPr>
        <w:t>Tibold</w:t>
      </w:r>
      <w:proofErr w:type="spellEnd"/>
      <w:r w:rsidRPr="00762E6E">
        <w:rPr>
          <w:rFonts w:ascii="Arial" w:hAnsi="Arial" w:cs="Arial"/>
          <w:sz w:val="24"/>
          <w:szCs w:val="24"/>
        </w:rPr>
        <w:t xml:space="preserve"> A, </w:t>
      </w:r>
      <w:proofErr w:type="spellStart"/>
      <w:proofErr w:type="gramStart"/>
      <w:r w:rsidRPr="00762E6E">
        <w:rPr>
          <w:rFonts w:ascii="Arial" w:hAnsi="Arial" w:cs="Arial"/>
          <w:sz w:val="24"/>
          <w:szCs w:val="24"/>
        </w:rPr>
        <w:t>Pusch</w:t>
      </w:r>
      <w:proofErr w:type="spellEnd"/>
      <w:proofErr w:type="gramEnd"/>
      <w:r w:rsidRPr="00762E6E">
        <w:rPr>
          <w:rFonts w:ascii="Arial" w:hAnsi="Arial" w:cs="Arial"/>
          <w:sz w:val="24"/>
          <w:szCs w:val="24"/>
        </w:rPr>
        <w:t xml:space="preserve"> G. Management of chronic pain: Still a challenge for clinicians. </w:t>
      </w:r>
      <w:proofErr w:type="spellStart"/>
      <w:r w:rsidRPr="00762E6E">
        <w:rPr>
          <w:rFonts w:ascii="Arial" w:hAnsi="Arial" w:cs="Arial"/>
          <w:sz w:val="24"/>
          <w:szCs w:val="24"/>
        </w:rPr>
        <w:t>Edorium</w:t>
      </w:r>
      <w:proofErr w:type="spellEnd"/>
      <w:r w:rsidRPr="00762E6E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762E6E">
        <w:rPr>
          <w:rFonts w:ascii="Arial" w:hAnsi="Arial" w:cs="Arial"/>
          <w:sz w:val="24"/>
          <w:szCs w:val="24"/>
        </w:rPr>
        <w:t>Neurol</w:t>
      </w:r>
      <w:proofErr w:type="spellEnd"/>
      <w:r w:rsidRPr="00762E6E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762E6E">
        <w:rPr>
          <w:rFonts w:ascii="Arial" w:hAnsi="Arial" w:cs="Arial"/>
          <w:sz w:val="24"/>
          <w:szCs w:val="24"/>
        </w:rPr>
        <w:t>;6:100013N06GF2019</w:t>
      </w:r>
      <w:proofErr w:type="gramEnd"/>
      <w:r w:rsidRPr="00762E6E">
        <w:rPr>
          <w:rFonts w:ascii="Arial" w:hAnsi="Arial" w:cs="Arial"/>
          <w:sz w:val="24"/>
          <w:szCs w:val="24"/>
        </w:rPr>
        <w:t>.</w:t>
      </w:r>
    </w:p>
    <w:sectPr w:rsidR="00296D74" w:rsidRPr="00762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62E6E"/>
    <w:rsid w:val="00296D74"/>
    <w:rsid w:val="0076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2</cp:revision>
  <dcterms:created xsi:type="dcterms:W3CDTF">2019-06-12T08:55:00Z</dcterms:created>
  <dcterms:modified xsi:type="dcterms:W3CDTF">2019-06-12T08:56:00Z</dcterms:modified>
</cp:coreProperties>
</file>